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</w:t>
      </w:r>
      <w:proofErr w:type="gram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történelem</w:t>
      </w:r>
      <w:proofErr w:type="gramEnd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B83A74" w:rsidRDefault="00B83A74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 w:rsidR="003F36E1">
        <w:rPr>
          <w:rStyle w:val="markedcontent"/>
          <w:rFonts w:ascii="IBM Plex Serif" w:hAnsi="IBM Plex Serif" w:cs="Times New Roman"/>
          <w:b/>
          <w:sz w:val="26"/>
          <w:szCs w:val="26"/>
        </w:rPr>
        <w:t>HABIL.</w:t>
      </w:r>
      <w:r w:rsidR="007F187C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B83A74" w:rsidRDefault="00AB30A6" w:rsidP="00B83A74">
      <w:pPr>
        <w:pStyle w:val="Nincstrkz"/>
        <w:rPr>
          <w:rStyle w:val="markedcontent"/>
          <w:rFonts w:ascii="IBM Plex Serif" w:hAnsi="IBM Plex Serif" w:cs="Times New Roman"/>
          <w:i/>
          <w:sz w:val="26"/>
          <w:szCs w:val="26"/>
        </w:rPr>
      </w:pPr>
      <w:r w:rsidRPr="00AB30A6">
        <w:rPr>
          <w:rStyle w:val="markedcontent"/>
          <w:rFonts w:ascii="IBM Plex Serif" w:hAnsi="IBM Plex Serif" w:cs="Times New Roman"/>
          <w:i/>
          <w:sz w:val="26"/>
          <w:szCs w:val="26"/>
        </w:rPr>
        <w:t>Az Intézet külsős oktatói</w:t>
      </w:r>
      <w:r>
        <w:rPr>
          <w:rStyle w:val="markedcontent"/>
          <w:rFonts w:ascii="IBM Plex Serif" w:hAnsi="IBM Plex Serif" w:cs="Times New Roman"/>
          <w:i/>
          <w:sz w:val="26"/>
          <w:szCs w:val="26"/>
        </w:rPr>
        <w:t xml:space="preserve"> (témavezetőként történő választásukhoz a szakfelelős előzetes hozzájárulása szükséges):</w:t>
      </w:r>
    </w:p>
    <w:p w:rsidR="00AB30A6" w:rsidRPr="00C05E3D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bookmarkStart w:id="0" w:name="_GoBack"/>
      <w:bookmarkEnd w:id="0"/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BABÓCZKYNÉ DR. SZŐKE EDIT: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nyelvészet, pszichológia, </w:t>
      </w:r>
      <w:r>
        <w:rPr>
          <w:rStyle w:val="markedcontent"/>
          <w:rFonts w:ascii="IBM Plex Serif" w:hAnsi="IBM Plex Serif" w:cs="Times New Roman"/>
          <w:sz w:val="26"/>
          <w:szCs w:val="26"/>
        </w:rPr>
        <w:t xml:space="preserve">gazdasági szaknyelv,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orvosi szaknyelv, teológia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BOGÁCSI ANETT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tolmácsolás, pedagógia, társadalomtudomány, szakfordítás, műfordítás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DÓKUS TÜNDE: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gazdasági és jogi szaknyelv, társadalomtudomány</w:t>
      </w:r>
      <w:r>
        <w:rPr>
          <w:rStyle w:val="markedcontent"/>
          <w:rFonts w:ascii="IBM Plex Serif" w:hAnsi="IBM Plex Serif" w:cs="Times New Roman"/>
          <w:sz w:val="26"/>
          <w:szCs w:val="26"/>
        </w:rPr>
        <w:t>, pedagógia, pszichológia, irodalomtudomány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ÖTVÖSNÉ VADNAY MARIANNA: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tanárképzés, alkalmazott nyelvészet területéről, közéleti politikai témák, fordításelmélet</w:t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lastRenderedPageBreak/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8C0CF4" w:rsidRPr="00C05E3D" w:rsidRDefault="008C0CF4" w:rsidP="008C0CF4">
      <w:pPr>
        <w:pStyle w:val="Nincstrkz"/>
        <w:rPr>
          <w:rStyle w:val="markedcontent"/>
          <w:rFonts w:ascii="IBM Plex Serif" w:hAnsi="IBM Plex Serif" w:cs="Times New Roman"/>
          <w:sz w:val="26"/>
          <w:szCs w:val="26"/>
        </w:rPr>
      </w:pPr>
      <w:r w:rsidRPr="00AB30A6">
        <w:rPr>
          <w:rStyle w:val="markedcontent"/>
          <w:rFonts w:ascii="IBM Plex Serif" w:hAnsi="IBM Plex Serif" w:cs="Times New Roman"/>
          <w:i/>
          <w:sz w:val="26"/>
          <w:szCs w:val="26"/>
        </w:rPr>
        <w:t>Az Intézet külsős oktatói</w:t>
      </w:r>
      <w:r>
        <w:rPr>
          <w:rStyle w:val="markedcontent"/>
          <w:rFonts w:ascii="IBM Plex Serif" w:hAnsi="IBM Plex Serif" w:cs="Times New Roman"/>
          <w:i/>
          <w:sz w:val="26"/>
          <w:szCs w:val="26"/>
        </w:rPr>
        <w:t xml:space="preserve"> (témavezetőként történő választásukhoz a szakfelelős előzetes hozzájárulása szükséges):</w:t>
      </w:r>
    </w:p>
    <w:p w:rsidR="008C0CF4" w:rsidRPr="00C05E3D" w:rsidRDefault="008C0CF4" w:rsidP="008C0CF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B</w:t>
      </w:r>
      <w:r>
        <w:rPr>
          <w:rStyle w:val="markedcontent"/>
          <w:rFonts w:ascii="IBM Plex Serif" w:hAnsi="IBM Plex Serif" w:cs="Times New Roman"/>
          <w:b/>
          <w:sz w:val="26"/>
          <w:szCs w:val="26"/>
        </w:rPr>
        <w:t>ENKE BRIGITTA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gazdasági és műszaki szaknyelv</w:t>
      </w:r>
    </w:p>
    <w:p w:rsidR="008C0CF4" w:rsidRPr="00C05E3D" w:rsidRDefault="008C0CF4" w:rsidP="008C0CF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>
        <w:rPr>
          <w:rStyle w:val="markedcontent"/>
          <w:rFonts w:ascii="IBM Plex Serif" w:hAnsi="IBM Plex Serif" w:cs="Times New Roman"/>
          <w:b/>
          <w:sz w:val="26"/>
          <w:szCs w:val="26"/>
        </w:rPr>
        <w:t>habil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. ORTUTAY KATALIN: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jogi szaknyelvi témák, társadalomtudományi témák (pedagógia, pszichológia, történelem), politológia, nyelvészet, alkalmazott nyelvészet</w:t>
      </w:r>
    </w:p>
    <w:sectPr w:rsidR="008C0CF4" w:rsidRPr="00C0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F36E1"/>
    <w:rsid w:val="00421C16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83A74"/>
    <w:rsid w:val="00C05E3D"/>
    <w:rsid w:val="00C14FDC"/>
    <w:rsid w:val="00C27AF8"/>
    <w:rsid w:val="00CC4EDF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3CE1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2022-03-18T18:00:00Z</cp:lastPrinted>
  <dcterms:created xsi:type="dcterms:W3CDTF">2024-05-24T08:11:00Z</dcterms:created>
  <dcterms:modified xsi:type="dcterms:W3CDTF">2024-06-06T09:40:00Z</dcterms:modified>
</cp:coreProperties>
</file>